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公告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>（印信位置）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主旨：公告本鄉自114年3月1日起全面禁止露天燃燒稻草及農業廢棄物，違者依空氣污染防制法處罰，請查照。</w:t>
      </w:r>
    </w:p>
    <w:p>
      <w:pPr>
        <w:spacing w:before="0" w:after="0" w:line="500" w:lineRule="exact"/>
        <w:ind w:left="952" w:hanging="952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依據：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一、空氣污染防制法第75條規定。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行政公告範例</dc:title>
  <dc:creator>www.ods.yao.care</dc:creator>
  <cp:lastModifiedBy>www.ods.yao.care</cp:lastModifiedBy>
</cp:coreProperties>
</file>